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ANEKS</w:t>
      </w:r>
    </w:p>
    <w:p w:rsidR="00000000" w:rsidDel="00000000" w:rsidP="00000000" w:rsidRDefault="00000000" w:rsidRPr="00000000" w14:paraId="00000002">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 zakresie wdrożenia wymogów Rozporządzenia DORA</w:t>
      </w:r>
    </w:p>
    <w:p w:rsidR="00000000" w:rsidDel="00000000" w:rsidP="00000000" w:rsidRDefault="00000000" w:rsidRPr="00000000" w14:paraId="00000003">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(dalej: „Aneks DORA”)</w:t>
      </w:r>
    </w:p>
    <w:p w:rsidR="00000000" w:rsidDel="00000000" w:rsidP="00000000" w:rsidRDefault="00000000" w:rsidRPr="00000000" w14:paraId="00000004">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zawarty dnia </w:t>
      </w:r>
      <w:r w:rsidDel="00000000" w:rsidR="00000000" w:rsidRPr="00000000">
        <w:rPr>
          <w:rFonts w:ascii="Times New Roman" w:cs="Times New Roman" w:eastAsia="Times New Roman" w:hAnsi="Times New Roman"/>
          <w:highlight w:val="yellow"/>
          <w:rtl w:val="0"/>
        </w:rPr>
        <w:t xml:space="preserve">[·]/[data złożenia ostatniego podpisu elektronicznego]</w:t>
      </w:r>
      <w:r w:rsidDel="00000000" w:rsidR="00000000" w:rsidRPr="00000000">
        <w:rPr>
          <w:rFonts w:ascii="Times New Roman" w:cs="Times New Roman" w:eastAsia="Times New Roman" w:hAnsi="Times New Roman"/>
          <w:rtl w:val="0"/>
        </w:rPr>
        <w:t xml:space="preserve"> pomiędzy:</w:t>
      </w:r>
    </w:p>
    <w:p w:rsidR="00000000" w:rsidDel="00000000" w:rsidP="00000000" w:rsidRDefault="00000000" w:rsidRPr="00000000" w14:paraId="00000006">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VERCOM S.A. </w:t>
      </w:r>
      <w:r w:rsidDel="00000000" w:rsidR="00000000" w:rsidRPr="00000000">
        <w:rPr>
          <w:rFonts w:ascii="Times New Roman" w:cs="Times New Roman" w:eastAsia="Times New Roman" w:hAnsi="Times New Roman"/>
          <w:rtl w:val="0"/>
        </w:rPr>
        <w:t xml:space="preserve">z siedzibą w Poznaniu, ul. Wierzbięcice 1B, 61-569 Poznań, wpisaną do Rejestru Przedsiębiorców Krajowego Rejestru Sądowego, prowadzonego przez Sąd Rejonowy Poznań – Nowe Miasto i Wilda w Poznaniu, VIII Wydział Gospodarczy Krajowego Rejestru Sądowego, pod numerem 0000535618, NIP 7811765125, REGON 300061423, LEI: 259400P9VT804CUH6G16, EUID: PLKRS.0000535618, o kapitale zakładowym 444.475,70 PLN wpłaconym w całości,</w:t>
      </w:r>
    </w:p>
    <w:p w:rsidR="00000000" w:rsidDel="00000000" w:rsidP="00000000" w:rsidRDefault="00000000" w:rsidRPr="00000000" w14:paraId="00000008">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0" w:line="27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zwaną dalej „</w:t>
      </w:r>
      <w:r w:rsidDel="00000000" w:rsidR="00000000" w:rsidRPr="00000000">
        <w:rPr>
          <w:rFonts w:ascii="Times New Roman" w:cs="Times New Roman" w:eastAsia="Times New Roman" w:hAnsi="Times New Roman"/>
          <w:b w:val="1"/>
          <w:bCs w:val="1"/>
          <w:rtl w:val="0"/>
        </w:rPr>
        <w:t xml:space="preserve">Dostawcą</w:t>
      </w:r>
      <w:r w:rsidDel="00000000" w:rsidR="00000000" w:rsidRPr="00000000">
        <w:rPr>
          <w:rFonts w:ascii="Times New Roman" w:cs="Times New Roman" w:eastAsia="Times New Roman" w:hAnsi="Times New Roman"/>
          <w:rtl w:val="0"/>
        </w:rPr>
        <w:t xml:space="preserve">”, reprezentowaną przez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w:t>
      </w:r>
    </w:p>
    <w:p w:rsidR="00000000" w:rsidDel="00000000" w:rsidP="00000000" w:rsidRDefault="00000000" w:rsidRPr="00000000" w14:paraId="0000000A">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p w:rsidR="00000000" w:rsidDel="00000000" w:rsidP="00000000" w:rsidRDefault="00000000" w:rsidRPr="00000000" w14:paraId="0000000C">
      <w:pPr>
        <w:spacing w:after="0" w:before="0" w:line="276" w:lineRule="auto"/>
        <w:jc w:val="both"/>
        <w:rPr>
          <w:rFonts w:ascii="Times New Roman" w:cs="Times New Roman" w:eastAsia="Times New Roman" w:hAnsi="Times New Roman"/>
          <w:b w:val="1"/>
          <w:bCs w:val="1"/>
          <w:i w:val="1"/>
          <w:iCs w:val="1"/>
          <w:highlight w:val="yellow"/>
        </w:rPr>
      </w:pPr>
      <w:r w:rsidDel="00000000" w:rsidR="00000000" w:rsidRPr="00000000">
        <w:rPr>
          <w:rtl w:val="0"/>
        </w:rPr>
      </w:r>
    </w:p>
    <w:p w:rsidR="00000000" w:rsidDel="00000000" w:rsidP="00000000" w:rsidRDefault="00000000" w:rsidRPr="00000000" w14:paraId="0000000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highlight w:val="yellow"/>
          <w:rtl w:val="0"/>
        </w:rPr>
        <w:t xml:space="preserve">[SPÓŁKI PL]</w:t>
      </w:r>
      <w:r w:rsidDel="00000000" w:rsidR="00000000" w:rsidRPr="00000000">
        <w:rPr>
          <w:rFonts w:ascii="Times New Roman" w:cs="Times New Roman" w:eastAsia="Times New Roman" w:hAnsi="Times New Roman"/>
          <w:i w:val="1"/>
          <w:iCs w:val="1"/>
          <w:highlight w:val="yellow"/>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z siedzibą w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ul.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wpisaną do Rejestru Przedsiębiorców Krajowego Rejestru Sądowego, prowadzonego przez Sąd Rejonowy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Wydział Gospodarczy Krajowego Rejestru Sądowego pod numerem KRS: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NIP: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REGON: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kapitał zakładowy: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LEI: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0F">
      <w:pPr>
        <w:spacing w:after="0" w:before="0" w:line="27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i w:val="1"/>
          <w:iCs w:val="1"/>
          <w:highlight w:val="yellow"/>
          <w:rtl w:val="0"/>
        </w:rPr>
        <w:t xml:space="preserve">[JDG]</w:t>
      </w:r>
      <w:r w:rsidDel="00000000" w:rsidR="00000000" w:rsidRPr="00000000">
        <w:rPr>
          <w:rFonts w:ascii="Times New Roman" w:cs="Times New Roman" w:eastAsia="Times New Roman" w:hAnsi="Times New Roman"/>
          <w:i w:val="1"/>
          <w:iCs w:val="1"/>
          <w:highlight w:val="yellow"/>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prowadzącą/ym działalność gospodarczą pod firmą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ul.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NIP: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REGON: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before="0" w:line="27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i w:val="1"/>
          <w:iCs w:val="1"/>
          <w:highlight w:val="yellow"/>
          <w:rtl w:val="0"/>
        </w:rPr>
        <w:t xml:space="preserve">[SPÓŁKI ZAGR]</w:t>
      </w:r>
      <w:r w:rsidDel="00000000" w:rsidR="00000000" w:rsidRPr="00000000">
        <w:rPr>
          <w:rFonts w:ascii="Times New Roman" w:cs="Times New Roman" w:eastAsia="Times New Roman" w:hAnsi="Times New Roman"/>
          <w:i w:val="1"/>
          <w:iCs w:val="1"/>
          <w:highlight w:val="yellow"/>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spółką prawa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z siedzibą w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pod adresem: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wpisaną do rejestru handlowego prowadzonego przez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pod numerem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posiadającą numer identyfikacji podatkowej: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2">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zwaną/ym dalej „</w:t>
      </w:r>
      <w:r w:rsidDel="00000000" w:rsidR="00000000" w:rsidRPr="00000000">
        <w:rPr>
          <w:rFonts w:ascii="Times New Roman" w:cs="Times New Roman" w:eastAsia="Times New Roman" w:hAnsi="Times New Roman"/>
          <w:b w:val="1"/>
          <w:bCs w:val="1"/>
          <w:rtl w:val="0"/>
        </w:rPr>
        <w:t xml:space="preserve">Klientem</w:t>
      </w:r>
      <w:r w:rsidDel="00000000" w:rsidR="00000000" w:rsidRPr="00000000">
        <w:rPr>
          <w:rFonts w:ascii="Times New Roman" w:cs="Times New Roman" w:eastAsia="Times New Roman" w:hAnsi="Times New Roman"/>
          <w:rtl w:val="0"/>
        </w:rPr>
        <w:t xml:space="preserve">” reprezentowaną/ym przez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oraz Klient będą dalej zwani łącznie „</w:t>
      </w:r>
      <w:r w:rsidDel="00000000" w:rsidR="00000000" w:rsidRPr="00000000">
        <w:rPr>
          <w:rFonts w:ascii="Times New Roman" w:cs="Times New Roman" w:eastAsia="Times New Roman" w:hAnsi="Times New Roman"/>
          <w:b w:val="1"/>
          <w:bCs w:val="1"/>
          <w:rtl w:val="0"/>
        </w:rPr>
        <w:t xml:space="preserve">Stronami</w:t>
      </w:r>
      <w:r w:rsidDel="00000000" w:rsidR="00000000" w:rsidRPr="00000000">
        <w:rPr>
          <w:rFonts w:ascii="Times New Roman" w:cs="Times New Roman" w:eastAsia="Times New Roman" w:hAnsi="Times New Roman"/>
          <w:rtl w:val="0"/>
        </w:rPr>
        <w:t xml:space="preserve">” lub każdy z osobna „</w:t>
      </w:r>
      <w:r w:rsidDel="00000000" w:rsidR="00000000" w:rsidRPr="00000000">
        <w:rPr>
          <w:rFonts w:ascii="Times New Roman" w:cs="Times New Roman" w:eastAsia="Times New Roman" w:hAnsi="Times New Roman"/>
          <w:b w:val="1"/>
          <w:bCs w:val="1"/>
          <w:rtl w:val="0"/>
        </w:rPr>
        <w:t xml:space="preserve">Stroną</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pacing w:after="0" w:before="0" w:line="276"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7">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Zważywszy, że:</w:t>
      </w:r>
    </w:p>
    <w:p w:rsidR="00000000" w:rsidDel="00000000" w:rsidP="00000000" w:rsidRDefault="00000000" w:rsidRPr="00000000" w14:paraId="00000018">
      <w:pPr>
        <w:numPr>
          <w:ilvl w:val="0"/>
          <w:numId w:val="11"/>
        </w:numPr>
        <w:spacing w:after="0" w:before="0" w:line="276" w:lineRule="auto"/>
        <w:ind w:left="720" w:hanging="360"/>
        <w:jc w:val="both"/>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Klient jest podmiotem zobowiązanym do wypełniania obowiązków nałożonych na niego rozporządzeniem Parlamentu Europejskiego i Rady (UE) 2022/2554 z dnia 14 grudnia 2022 r. w sprawie operacyjnej odporności cyfrowej sektora finansowego oraz zmieniającym rozporządzenia (WE) nr 1060/2009, (UE) nr 648/2012, (UE) nr 600/2014, (UE) nr 909/2014 i (UE) 2016/1011 („DORA”);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Klient powierzył Dostawcy świadczenie określonych usług, a Dostawca zobowiązał się do ich świadczenia, na warunkach określonych w umowie </w:t>
      </w:r>
      <w:r w:rsidDel="00000000" w:rsidR="00000000" w:rsidRPr="00000000">
        <w:rPr>
          <w:rFonts w:ascii="Times New Roman" w:cs="Times New Roman" w:eastAsia="Times New Roman" w:hAnsi="Times New Roman"/>
          <w:i w:val="1"/>
          <w:iCs w:val="1"/>
          <w:highlight w:val="yellow"/>
          <w:rtl w:val="0"/>
        </w:rPr>
        <w:t xml:space="preserve">z dnia </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iCs w:val="1"/>
          <w:highlight w:val="yellow"/>
          <w:rtl w:val="0"/>
        </w:rPr>
        <w:t xml:space="preserve"> w przedmiocie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i w:val="1"/>
          <w:iCs w:val="1"/>
          <w:highlight w:val="yellow"/>
          <w:rtl w:val="0"/>
        </w:rPr>
        <w:t xml:space="preserve"> („</w:t>
      </w:r>
      <w:r w:rsidDel="00000000" w:rsidR="00000000" w:rsidRPr="00000000">
        <w:rPr>
          <w:rFonts w:ascii="Times New Roman" w:cs="Times New Roman" w:eastAsia="Times New Roman" w:hAnsi="Times New Roman"/>
          <w:b w:val="1"/>
          <w:bCs w:val="1"/>
          <w:i w:val="1"/>
          <w:iCs w:val="1"/>
          <w:highlight w:val="yellow"/>
          <w:rtl w:val="0"/>
        </w:rPr>
        <w:t xml:space="preserve">Umowa Główna</w:t>
      </w:r>
      <w:r w:rsidDel="00000000" w:rsidR="00000000" w:rsidRPr="00000000">
        <w:rPr>
          <w:rFonts w:ascii="Times New Roman" w:cs="Times New Roman" w:eastAsia="Times New Roman" w:hAnsi="Times New Roman"/>
          <w:i w:val="1"/>
          <w:iCs w:val="1"/>
          <w:highlight w:val="yellow"/>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Usługi Dostawcy świadczone na podstawie Umowy Głównej stanowią Usługi ICT w rozumieniu DORA,</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 związku z powyższym powstała potrzeba dostosowania Umowy Głównej do wymogów DORA, w tym w szczególności wymogów opisanych w art. 28-30 DORA,</w:t>
      </w:r>
    </w:p>
    <w:p w:rsidR="00000000" w:rsidDel="00000000" w:rsidP="00000000" w:rsidRDefault="00000000" w:rsidRPr="00000000" w14:paraId="0000001C">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D">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Strony zawierają Aneks DORA do Umowy Głównej o następującej treści:</w:t>
      </w:r>
    </w:p>
    <w:p w:rsidR="00000000" w:rsidDel="00000000" w:rsidP="00000000" w:rsidRDefault="00000000" w:rsidRPr="00000000" w14:paraId="0000001E">
      <w:pPr>
        <w:spacing w:after="0" w:before="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F">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w:t>
      </w:r>
    </w:p>
    <w:p w:rsidR="00000000" w:rsidDel="00000000" w:rsidP="00000000" w:rsidRDefault="00000000" w:rsidRPr="00000000" w14:paraId="00000020">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Definicje. Reguły kolizyjne</w:t>
      </w:r>
    </w:p>
    <w:p w:rsidR="00000000" w:rsidDel="00000000" w:rsidP="00000000" w:rsidRDefault="00000000" w:rsidRPr="00000000" w14:paraId="00000021">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numPr>
          <w:ilvl w:val="0"/>
          <w:numId w:val="7"/>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 ile wyraźnie nie stwierdzono inaczej, wszystkie definicje użyte w Aneksie DORA mają następujące znaczenie: </w:t>
      </w:r>
      <w:r w:rsidDel="00000000" w:rsidR="00000000" w:rsidRPr="00000000">
        <w:rPr>
          <w:rtl w:val="0"/>
        </w:rPr>
      </w:r>
    </w:p>
    <w:p w:rsidR="00000000" w:rsidDel="00000000" w:rsidP="00000000" w:rsidRDefault="00000000" w:rsidRPr="00000000" w14:paraId="00000023">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1"/>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17"/>
        <w:gridCol w:w="7208"/>
        <w:tblGridChange w:id="0">
          <w:tblGrid>
            <w:gridCol w:w="1817"/>
            <w:gridCol w:w="7208"/>
          </w:tblGrid>
        </w:tblGridChange>
      </w:tblGrid>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4">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DORA</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5">
            <w:pPr>
              <w:spacing w:after="0" w:before="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Rozporządzenie Parlamentu Europejskiego i Rady (UE) 2022/2554 z dnia 14 grudnia 2022 r. w sprawie operacyjnej odporności cyfrowej sektora finansowego i zmieniające rozporządzenia (WE) nr 1060/2009, (UE) nr 648/2012, (UE) nr 600/2014, (UE) nr 909/2014 oraz (UE) 2016/1011, wraz z aktami wykonawczymi</w:t>
            </w:r>
          </w:p>
        </w:tc>
      </w:tr>
      <w:tr>
        <w:trPr>
          <w:cantSplit w:val="0"/>
          <w:trHeight w:val="12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6">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Incydent ICT</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Pojedyncze zdarzenie lub serię powiązanych ze sobą zdarzeń, nieplanowanych przez Dostawcę, które naruszają bezpieczeństwo sieci i systemów informatycznych i mają negatywny wpływ na dostępność, autentyczność, integralność lub poufność danych lub na usługi świadczone przez Dostawcę</w:t>
            </w:r>
          </w:p>
        </w:tc>
      </w:tr>
      <w:tr>
        <w:trPr>
          <w:cantSplit w:val="0"/>
          <w:trHeight w:val="7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8">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Właściwy organ/ KNF</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Komisja Nadzoru Finansowego </w:t>
            </w:r>
          </w:p>
        </w:tc>
      </w:tr>
      <w:tr>
        <w:trPr>
          <w:cantSplit w:val="0"/>
          <w:trHeight w:val="76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A">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Pracownik</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Pracownik w rozumieniu Kodeksu pracy lub osoba fizyczna współpracująca z Dostawcą na podstawie zawartej umowy cywilnoprawnej</w:t>
            </w:r>
          </w:p>
        </w:tc>
      </w:tr>
      <w:tr>
        <w:trPr>
          <w:cantSplit w:val="0"/>
          <w:trHeight w:val="190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C">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Podwykonawca</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Podmiot niebędący Pracownikiem, któremu Dostawca powierzył świadczenie Usługi ICT lub jej istotnej części. Za Podwykonawców nie będą uznawane osoby prowadzące jednoosobową działalność gospodarczą, które realizują czynności na rzecz Dostawcy na podstawie umowy cywilnoprawnej (umowy B2B), która przewiduje co do zasady osobiste świadczenie przez takie osoby usług, wspierających Usługi ICT świadczone przez Dostawcę na rzecz Klienta</w:t>
            </w:r>
          </w:p>
          <w:p w:rsidR="00000000" w:rsidDel="00000000" w:rsidP="00000000" w:rsidRDefault="00000000" w:rsidRPr="00000000" w14:paraId="0000002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0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F">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Usługi ICT</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Usługi, które Dostawca świadczy na rzecz Klienta na podstawie Umowy Głównej, stanowiące usługi cyfrowe i usługi w zakresie danych świadczone w sposób ciągły za pośrednictwem systemów ICT na rzecz, co najmniej jednego użytkownika wewnętrznego lub zewnętrznego, łącznie ze sprzętem komputerowym, jako usługą i usługami w zakresie sprzętu komputerowego obejmującymi zapewnianie wsparcia technicznego za pośrednictwem aktualizacji oprogramowania lub oprogramowania układowego przez dostawcę sprzętu, z wyłączeniem tradycyjnych usług telefonii analogowej</w:t>
            </w:r>
          </w:p>
        </w:tc>
      </w:tr>
      <w:tr>
        <w:trPr>
          <w:cantSplit w:val="0"/>
          <w:trHeight w:val="15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1">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Ryzyko związane z ICT</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2">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Każda dająca się racjonalnie określić okoliczność związana z użytkowaniem sieci i systemów informatycznych, która - jeżeli dojdzie do jej urzeczywistnienia - może naruszyć bezpieczeństwo sieci i systemów informatycznych, dowolnego narzędzia lub procesu zależnego od technologii, bezpieczeństwo operacji i procesów lub świadczenie usług poprzez wywoływanie negatywnych skutków w środowisku cyfrowym lub fizycznym</w:t>
            </w:r>
          </w:p>
        </w:tc>
      </w:tr>
      <w:tr>
        <w:trPr>
          <w:cantSplit w:val="0"/>
          <w:trHeight w:val="127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3">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Organy ds. restrukturyzacji i uporządkowanej likwidacji </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3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Bankowy Fundusz Gwarancyjny lub inne instytucje, których celem jest prowadzenie procedury restrukturyzacji i uporządkowanej likwidacji podmiotu finansowego</w:t>
            </w:r>
          </w:p>
        </w:tc>
      </w:tr>
    </w:tbl>
    <w:p w:rsidR="00000000" w:rsidDel="00000000" w:rsidP="00000000" w:rsidRDefault="00000000" w:rsidRPr="00000000" w14:paraId="00000035">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Słowa i wyrażenia zdefiniowane w Umowie Głównej mają takie samo znaczenie w Aneksie DORA, o ile w Aneksie DORA nie zaznaczono inaczej lub o ile kontekst nie stanowi inaczej. </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Pojęcia niezdefiniowane w Aneksie DORA, a mające swoje definicje w DORA, mają znaczenie nadane im w DORA.</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razie sprzeczności między postanowieniami ustalonymi w Umowie Głównej a postanowieniami zawartymi w Aneksie DORA, odpowiednie zastosowanie mają postanowienia określone w Aneksie DORA, chyba że Aneks DORA wprost stanowi inaczej.</w:t>
      </w:r>
    </w:p>
    <w:p w:rsidR="00000000" w:rsidDel="00000000" w:rsidP="00000000" w:rsidRDefault="00000000" w:rsidRPr="00000000" w14:paraId="00000039">
      <w:pPr>
        <w:spacing w:after="0" w:before="0" w:line="276"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after="0" w:before="0" w:line="276" w:lineRule="auto"/>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w:t>
      </w:r>
    </w:p>
    <w:p w:rsidR="00000000" w:rsidDel="00000000" w:rsidP="00000000" w:rsidRDefault="00000000" w:rsidRPr="00000000" w14:paraId="0000003B">
      <w:pPr>
        <w:spacing w:after="0" w:before="0" w:line="276" w:lineRule="auto"/>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Usługi ICT [</w:t>
      </w:r>
      <w:r w:rsidDel="00000000" w:rsidR="00000000" w:rsidRPr="00000000">
        <w:rPr>
          <w:rFonts w:ascii="Times New Roman" w:cs="Times New Roman" w:eastAsia="Times New Roman" w:hAnsi="Times New Roman"/>
          <w:b w:val="1"/>
          <w:bCs w:val="1"/>
          <w:i w:val="1"/>
          <w:iCs w:val="1"/>
          <w:rtl w:val="0"/>
        </w:rPr>
        <w:t xml:space="preserve">wymóg z art. 30 ust. 2 lit. a)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3C">
      <w:pPr>
        <w:spacing w:after="0" w:before="0" w:line="276" w:lineRule="auto"/>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numPr>
          <w:ilvl w:val="0"/>
          <w:numId w:val="1"/>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Jasny i kompletny opis Usług ICT świadczonych przez Dostawcę na rzecz Klienta znajduje się w Umowie Głównej.</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Usługi ICT świadczone przez Dostawcę na rzecz Klienta nie stanowią Usług ICT wspierających krytyczną lub istotną funkcję w rozumieniu art. 3 pkt 22) DORA.</w:t>
      </w:r>
    </w:p>
    <w:p w:rsidR="00000000" w:rsidDel="00000000" w:rsidP="00000000" w:rsidRDefault="00000000" w:rsidRPr="00000000" w14:paraId="0000003F">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3</w:t>
      </w:r>
    </w:p>
    <w:p w:rsidR="00000000" w:rsidDel="00000000" w:rsidP="00000000" w:rsidRDefault="00000000" w:rsidRPr="00000000" w14:paraId="00000041">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Podwykonawstwo [</w:t>
      </w:r>
      <w:r w:rsidDel="00000000" w:rsidR="00000000" w:rsidRPr="00000000">
        <w:rPr>
          <w:rFonts w:ascii="Times New Roman" w:cs="Times New Roman" w:eastAsia="Times New Roman" w:hAnsi="Times New Roman"/>
          <w:b w:val="1"/>
          <w:bCs w:val="1"/>
          <w:i w:val="1"/>
          <w:iCs w:val="1"/>
          <w:rtl w:val="0"/>
        </w:rPr>
        <w:t xml:space="preserve">wymóg z art. 30 ust. 2 lit. a)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2">
      <w:pPr>
        <w:spacing w:after="0" w:before="0" w:line="276" w:lineRule="auto"/>
        <w:ind w:left="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numPr>
          <w:ilvl w:val="0"/>
          <w:numId w:val="6"/>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Dostawca ma prawo świadczenia Usług ICT z wykorzystaniem Podwykonawców.</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oświadcza, że posiada wdrożone i stosuje procesy oceny Podwykonawców umożliwiające dokonanie należytej oceny działalności Podwykonawców.</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zobowiązuje się poinformować Klienta o:</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zamiarze nawiązania współpracy z Podwykonawcą, którego miejscem świadczenia usług jest obszar poza strefą Europejskiego Obszaru Gospodarczego (EOG);</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zmianie miejsca świadczenia usług przez dotychczasowego Podwykonawcę na obszar poza strefą EOG;</w:t>
      </w:r>
      <w:r w:rsidDel="00000000" w:rsidR="00000000" w:rsidRPr="00000000">
        <w:rPr>
          <w:rtl w:val="0"/>
        </w:rPr>
      </w:r>
    </w:p>
    <w:p w:rsidR="00000000" w:rsidDel="00000000" w:rsidP="00000000" w:rsidRDefault="00000000" w:rsidRPr="00000000" w14:paraId="00000048">
      <w:pPr>
        <w:spacing w:after="0" w:before="0" w:line="276"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 później niż w terminie 5 (pięciu) dni roboczych poprzedzających dzień nawiązania współpracy z takim Podwykonawcą lub odpowiednio w terminie 5 (pięciu) dni roboczych od dnia pozyskania informacji o zmianie miejsca świadczenia usług przez dotychczasowego Podwykonawcę.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ponosi odpowiedzialność za świadczenie usług przez Podwykonawców.</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Podwykonawców, wykorzystywanych przez Dostawcę do świadczenia Usług ICT na dzień zawarcia Aneksu DORA, została określona w § 4 ust. 1 poniżej. Dostawca zobowiązuje się poinformować Klienta o planowanej zmianie podmiotowej na liście Podwykonawców nie później niż w terminie 5 (pięciu) dni roboczych poprzedzających dzień nawiązania współpracy z takim Podwykonawcą.</w:t>
      </w:r>
    </w:p>
    <w:p w:rsidR="00000000" w:rsidDel="00000000" w:rsidP="00000000" w:rsidRDefault="00000000" w:rsidRPr="00000000" w14:paraId="0000004B">
      <w:pPr>
        <w:spacing w:after="0" w:before="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4</w:t>
      </w:r>
    </w:p>
    <w:p w:rsidR="00000000" w:rsidDel="00000000" w:rsidP="00000000" w:rsidRDefault="00000000" w:rsidRPr="00000000" w14:paraId="0000004D">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Miejsca świadczenia Usług ICT [</w:t>
      </w:r>
      <w:r w:rsidDel="00000000" w:rsidR="00000000" w:rsidRPr="00000000">
        <w:rPr>
          <w:rFonts w:ascii="Times New Roman" w:cs="Times New Roman" w:eastAsia="Times New Roman" w:hAnsi="Times New Roman"/>
          <w:b w:val="1"/>
          <w:bCs w:val="1"/>
          <w:i w:val="1"/>
          <w:iCs w:val="1"/>
          <w:rtl w:val="0"/>
        </w:rPr>
        <w:t xml:space="preserve">wymóg z art. 30 ust. 2 lit. b)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E">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F">
      <w:pPr>
        <w:numPr>
          <w:ilvl w:val="0"/>
          <w:numId w:val="5"/>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Strony określają miejsca, czyli regiony lub kraje, w których będą świadczone Usługi ICT objęte Umową Główną lub podwykonawstwem oraz w których mają być przetwarzane dane, w tym miejsce przechowywania:</w:t>
      </w:r>
      <w:r w:rsidDel="00000000" w:rsidR="00000000" w:rsidRPr="00000000">
        <w:rPr>
          <w:rtl w:val="0"/>
        </w:rPr>
      </w:r>
    </w:p>
    <w:p w:rsidR="00000000" w:rsidDel="00000000" w:rsidP="00000000" w:rsidRDefault="00000000" w:rsidRPr="00000000" w14:paraId="00000050">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before="0" w:line="276" w:lineRule="auto"/>
        <w:ind w:left="1080"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2"/>
        <w:tblW w:w="90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795"/>
        <w:gridCol w:w="2625"/>
        <w:gridCol w:w="2610"/>
        <w:tblGridChange w:id="0">
          <w:tblGrid>
            <w:gridCol w:w="3795"/>
            <w:gridCol w:w="2625"/>
            <w:gridCol w:w="2610"/>
          </w:tblGrid>
        </w:tblGridChange>
      </w:tblGrid>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5E">
            <w:pPr>
              <w:spacing w:after="0" w:before="0" w:line="276" w:lineRule="auto"/>
              <w:ind w:left="840" w:hanging="698"/>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Nazwa</w:t>
            </w:r>
          </w:p>
          <w:p w:rsidR="00000000" w:rsidDel="00000000" w:rsidP="00000000" w:rsidRDefault="00000000" w:rsidRPr="00000000" w14:paraId="0000005F">
            <w:pPr>
              <w:spacing w:after="0" w:before="0" w:line="276" w:lineRule="auto"/>
              <w:ind w:left="840" w:hanging="698"/>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Adres siedziby</w:t>
            </w:r>
          </w:p>
          <w:p w:rsidR="00000000" w:rsidDel="00000000" w:rsidP="00000000" w:rsidRDefault="00000000" w:rsidRPr="00000000" w14:paraId="00000060">
            <w:pPr>
              <w:spacing w:after="0" w:before="0" w:line="276" w:lineRule="auto"/>
              <w:ind w:left="840" w:hanging="698"/>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Numer LEI/EUID</w:t>
            </w:r>
          </w:p>
          <w:p w:rsidR="00000000" w:rsidDel="00000000" w:rsidP="00000000" w:rsidRDefault="00000000" w:rsidRPr="00000000" w14:paraId="00000061">
            <w:pPr>
              <w:spacing w:after="0" w:before="0" w:line="276" w:lineRule="auto"/>
              <w:ind w:left="84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2">
            <w:pPr>
              <w:spacing w:after="0" w:before="0" w:line="276" w:lineRule="auto"/>
              <w:ind w:lef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Miejsce świadczenia Usług ICT (kraj/region)</w:t>
            </w:r>
          </w:p>
        </w:tc>
        <w:tc>
          <w:tcPr>
            <w:tcBorders>
              <w:top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3">
            <w:pPr>
              <w:spacing w:after="0" w:before="0" w:line="276" w:lineRule="auto"/>
              <w:ind w:left="0" w:firstLine="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Miejsce przetwarzania, w tym przechowywania danych (kraj/region)</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4">
            <w:pPr>
              <w:spacing w:after="0" w:before="0" w:line="276"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Dostawca:</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65">
            <w:pPr>
              <w:spacing w:after="0" w:before="0" w:line="276" w:lineRule="auto"/>
              <w:ind w:left="840" w:firstLine="0"/>
              <w:rPr>
                <w:rFonts w:ascii="Times New Roman" w:cs="Times New Roman" w:eastAsia="Times New Roman" w:hAnsi="Times New Roman"/>
                <w:sz w:val="20"/>
                <w:szCs w:val="20"/>
                <w:shd w:fill="d3d3d3" w:val="clear"/>
              </w:rPr>
            </w:pPr>
            <w:r w:rsidDel="00000000" w:rsidR="00000000" w:rsidRPr="00000000">
              <w:rPr>
                <w:rFonts w:ascii="Times New Roman" w:cs="Times New Roman" w:eastAsia="Times New Roman" w:hAnsi="Times New Roman"/>
                <w:sz w:val="20"/>
                <w:szCs w:val="20"/>
                <w:shd w:fill="d3d3d3" w:val="clear"/>
                <w:rtl w:val="0"/>
              </w:rPr>
              <w:t xml:space="preserve"> </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66">
            <w:pPr>
              <w:spacing w:after="0" w:before="0" w:line="276" w:lineRule="auto"/>
              <w:ind w:left="840" w:firstLine="0"/>
              <w:rPr>
                <w:rFonts w:ascii="Times New Roman" w:cs="Times New Roman" w:eastAsia="Times New Roman" w:hAnsi="Times New Roman"/>
                <w:sz w:val="20"/>
                <w:szCs w:val="20"/>
                <w:shd w:fill="d3d3d3" w:val="clear"/>
              </w:rPr>
            </w:pPr>
            <w:r w:rsidDel="00000000" w:rsidR="00000000" w:rsidRPr="00000000">
              <w:rPr>
                <w:rFonts w:ascii="Times New Roman" w:cs="Times New Roman" w:eastAsia="Times New Roman" w:hAnsi="Times New Roman"/>
                <w:sz w:val="20"/>
                <w:szCs w:val="20"/>
                <w:shd w:fill="d3d3d3" w:val="clear"/>
                <w:rtl w:val="0"/>
              </w:rPr>
              <w:t xml:space="preserve"> </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7">
            <w:pPr>
              <w:spacing w:after="0" w:before="0"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Vercom S.A.</w:t>
            </w:r>
          </w:p>
          <w:p w:rsidR="00000000" w:rsidDel="00000000" w:rsidP="00000000" w:rsidRDefault="00000000" w:rsidRPr="00000000" w14:paraId="0000006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Wierzbięcice 1B, 61-569 Poznań</w:t>
            </w:r>
          </w:p>
          <w:p w:rsidR="00000000" w:rsidDel="00000000" w:rsidP="00000000" w:rsidRDefault="00000000" w:rsidRPr="00000000" w14:paraId="00000069">
            <w:pPr>
              <w:spacing w:after="0"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 259400P9VT804CUH6G16</w:t>
            </w:r>
          </w:p>
          <w:p w:rsidR="00000000" w:rsidDel="00000000" w:rsidP="00000000" w:rsidRDefault="00000000" w:rsidRPr="00000000" w14:paraId="0000006A">
            <w:pPr>
              <w:spacing w:after="0"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PLKRS.0000535618</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B">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C">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D">
            <w:pPr>
              <w:spacing w:after="0" w:before="0" w:line="276"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Podwykonawca:</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6E">
            <w:pPr>
              <w:spacing w:after="0" w:before="0" w:line="276" w:lineRule="auto"/>
              <w:ind w:left="8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8" w:val="single"/>
              <w:right w:color="000000" w:space="0" w:sz="8" w:val="single"/>
            </w:tcBorders>
            <w:shd w:fill="aeaaaa" w:val="clear"/>
            <w:tcMar>
              <w:top w:w="0.0" w:type="dxa"/>
              <w:left w:w="100.0" w:type="dxa"/>
              <w:bottom w:w="0.0" w:type="dxa"/>
              <w:right w:w="100.0" w:type="dxa"/>
            </w:tcMar>
          </w:tcPr>
          <w:p w:rsidR="00000000" w:rsidDel="00000000" w:rsidP="00000000" w:rsidRDefault="00000000" w:rsidRPr="00000000" w14:paraId="0000006F">
            <w:pPr>
              <w:spacing w:after="0" w:before="0" w:line="276" w:lineRule="auto"/>
              <w:ind w:left="8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Beyond Solutions sp. z o. o.</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Kręglewskiego 11, 61-248 Poznań</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PLKRS.0001099085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3">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4">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5">
            <w:pPr>
              <w:spacing w:after="0" w:before="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NTT Global Data Centers EMEA GmbH</w:t>
            </w:r>
          </w:p>
          <w:p w:rsidR="00000000" w:rsidDel="00000000" w:rsidP="00000000" w:rsidRDefault="00000000" w:rsidRPr="00000000" w14:paraId="0000007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Voltastraße 15, 65795 Hattersheim, Niemcy</w:t>
            </w:r>
          </w:p>
          <w:p w:rsidR="00000000" w:rsidDel="00000000" w:rsidP="00000000" w:rsidRDefault="00000000" w:rsidRPr="00000000" w14:paraId="00000077">
            <w:pPr>
              <w:spacing w:after="0" w:before="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EUID: DEM1201.HRB77478</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8">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Niemcy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9">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Niemcy</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A">
            <w:pPr>
              <w:spacing w:after="0" w:before="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cyber_Folks S.A. </w:t>
            </w:r>
          </w:p>
          <w:p w:rsidR="00000000" w:rsidDel="00000000" w:rsidP="00000000" w:rsidRDefault="00000000" w:rsidRPr="00000000" w14:paraId="0000007B">
            <w:pPr>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Wierzbięcice 1B, 61-569 Poznań</w:t>
            </w:r>
          </w:p>
          <w:p w:rsidR="00000000" w:rsidDel="00000000" w:rsidP="00000000" w:rsidRDefault="00000000" w:rsidRPr="00000000" w14:paraId="0000007C">
            <w:pPr>
              <w:spacing w:after="0"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LEI 259400I7J8I4F638KS93</w:t>
            </w:r>
          </w:p>
          <w:p w:rsidR="00000000" w:rsidDel="00000000" w:rsidP="00000000" w:rsidRDefault="00000000" w:rsidRPr="00000000" w14:paraId="0000007D">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EUID: PLKRS.0000685595</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E">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F">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Polska</w:t>
            </w:r>
          </w:p>
        </w:tc>
      </w:tr>
      <w:tr>
        <w:trPr>
          <w:cantSplit w:val="0"/>
          <w:trHeight w:val="39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Amazon Web Services EMEA SARL</w:t>
            </w:r>
          </w:p>
          <w:p w:rsidR="00000000" w:rsidDel="00000000" w:rsidP="00000000" w:rsidRDefault="00000000" w:rsidRPr="00000000" w14:paraId="0000008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Avenue John F. Kennedy,</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LU-1855 Luksemburg</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EUID: LURCSL.B186284</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4">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Niemcy</w:t>
            </w:r>
          </w:p>
        </w:tc>
        <w:tc>
          <w:tcPr>
            <w:tcBorders>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85">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EOG, Luksemburg</w:t>
            </w:r>
          </w:p>
          <w:p w:rsidR="00000000" w:rsidDel="00000000" w:rsidP="00000000" w:rsidRDefault="00000000" w:rsidRPr="00000000" w14:paraId="00000086">
            <w:pPr>
              <w:spacing w:after="0" w:before="0" w:line="276"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7">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zobowiązuje się poinformować Klienta o zmianie miejsca świadczenia Usług ICT lub miejsca przetwarzania, w tym przechowywania danych poza strefę EOG nie później niż w terminie 5 (pięciu) dni roboczych poprzedzających dzień planowanego terminu zmiany.</w:t>
      </w:r>
    </w:p>
    <w:p w:rsidR="00000000" w:rsidDel="00000000" w:rsidP="00000000" w:rsidRDefault="00000000" w:rsidRPr="00000000" w14:paraId="0000008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5</w:t>
      </w:r>
    </w:p>
    <w:p w:rsidR="00000000" w:rsidDel="00000000" w:rsidP="00000000" w:rsidRDefault="00000000" w:rsidRPr="00000000" w14:paraId="0000008B">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Bezpieczeństwo danych. Zarządzanie Incydentami ICT </w:t>
      </w:r>
    </w:p>
    <w:p w:rsidR="00000000" w:rsidDel="00000000" w:rsidP="00000000" w:rsidRDefault="00000000" w:rsidRPr="00000000" w14:paraId="0000008C">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i w:val="1"/>
          <w:iCs w:val="1"/>
          <w:rtl w:val="0"/>
        </w:rPr>
        <w:t xml:space="preserve">wymóg z art. 28 ust. 5 oraz art. 30 ust. 2 lit. c) i f)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8D">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E">
      <w:pPr>
        <w:numPr>
          <w:ilvl w:val="0"/>
          <w:numId w:val="12"/>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zobowiązuje się do wdrożenia odpowiednich standardów w zakresie bezpieczeństwa informacji, w tym stosuje zasady oparte na uznanych, międzynarodowych standardach określonych w normach ISO/IEC 27001, ISO/IEC 27018 oraz ISO 22301, które zapewniają dostępność, autentyczność, integralność i poufność w związku z ochroną danych, w tym danych osobowych.</w:t>
      </w:r>
    </w:p>
    <w:p w:rsidR="00000000" w:rsidDel="00000000" w:rsidP="00000000" w:rsidRDefault="00000000" w:rsidRPr="00000000" w14:paraId="0000008F">
      <w:pPr>
        <w:numPr>
          <w:ilvl w:val="0"/>
          <w:numId w:val="12"/>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jest zobowiązany do usuwania podatności, w szczególności krytycznych i istotnych zgodnie z wykonaną analizą ryzyka i posiadanymi procedurami, w swoich systemach, narzędziach i procesach oraz reagowania na cyberzagrożenia, które mogą mieć negatywny wpływ na Usługę ICT.</w:t>
      </w:r>
    </w:p>
    <w:p w:rsidR="00000000" w:rsidDel="00000000" w:rsidP="00000000" w:rsidRDefault="00000000" w:rsidRPr="00000000" w14:paraId="00000090">
      <w:pPr>
        <w:numPr>
          <w:ilvl w:val="0"/>
          <w:numId w:val="12"/>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Strony zobowiązują się do wzajemnego zgłaszania Incydentów ICT.</w:t>
      </w:r>
    </w:p>
    <w:p w:rsidR="00000000" w:rsidDel="00000000" w:rsidP="00000000" w:rsidRDefault="00000000" w:rsidRPr="00000000" w14:paraId="00000091">
      <w:pPr>
        <w:numPr>
          <w:ilvl w:val="0"/>
          <w:numId w:val="12"/>
        </w:numPr>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Zgłoszeniu jako Incydent ICT podlegają w szczególności następujące zdarzenia:</w:t>
      </w:r>
    </w:p>
    <w:p w:rsidR="00000000" w:rsidDel="00000000" w:rsidP="00000000" w:rsidRDefault="00000000" w:rsidRPr="00000000" w14:paraId="00000092">
      <w:pPr>
        <w:numPr>
          <w:ilvl w:val="0"/>
          <w:numId w:val="9"/>
        </w:numPr>
        <w:spacing w:after="0" w:before="0" w:line="276"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naruszenie co najmniej jednego z atrybutów: poufności, integralności, autentyczności, rozliczalności lub dostępności informacji chronionych, np. nieautoryzowany dostęp do tych informacji (wyciek poza infrastrukturę informatyczną lub nieuprawniony dostęp do dokumentacji przechowywanej poza infrastrukturę informatyczną);</w:t>
      </w:r>
      <w:r w:rsidDel="00000000" w:rsidR="00000000" w:rsidRPr="00000000">
        <w:rPr>
          <w:rtl w:val="0"/>
        </w:rPr>
      </w:r>
    </w:p>
    <w:p w:rsidR="00000000" w:rsidDel="00000000" w:rsidP="00000000" w:rsidRDefault="00000000" w:rsidRPr="00000000" w14:paraId="00000093">
      <w:pPr>
        <w:numPr>
          <w:ilvl w:val="0"/>
          <w:numId w:val="9"/>
        </w:numPr>
        <w:spacing w:after="0" w:before="0" w:line="276"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podszywanie się pod Dostawcę lub Klienta z wykorzystaniem technik informatycznych (np. phishing, pharming) lub socjotechniki, o ile ma to wpływ na realizację Usług ICT świadczonych przez Dostawcę w ramach Umowy Głównej;</w:t>
      </w:r>
      <w:r w:rsidDel="00000000" w:rsidR="00000000" w:rsidRPr="00000000">
        <w:rPr>
          <w:rtl w:val="0"/>
        </w:rPr>
      </w:r>
    </w:p>
    <w:p w:rsidR="00000000" w:rsidDel="00000000" w:rsidP="00000000" w:rsidRDefault="00000000" w:rsidRPr="00000000" w14:paraId="00000094">
      <w:pPr>
        <w:numPr>
          <w:ilvl w:val="0"/>
          <w:numId w:val="9"/>
        </w:numPr>
        <w:spacing w:after="0" w:before="0" w:line="276" w:lineRule="auto"/>
        <w:ind w:left="14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nadużycia personelu Dostawcy lub Klienta zagrażające bezpieczeństwu informacji prawnie chronionych Klienta lub Dostawcy lub realizacji Usług ICT świadczonych przez Dostawcę w ramach Umowy Głównej.</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wystąpienia Incydentu ICT Strony są zobowiązane do niezwłocznego, ale nie później niż w ciągu 1 (jednego) dnia roboczego od potwierdzenia wystąpienia Incydentu ICT, a w każdym wypadku nie później niż w ciągu 72 godzin od powzięcia informacji o wystąpieniu Incydentu ICT, poinformowania się o takim zdarzeniu, a także do dostarczenia materiałów i informacji niezbędnych do skutecznej obsługi tego rodzaju Incydentu ICT, w tym jego usunięcia.</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Incydenty ICT zidentyfikowane przez:</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Dostawcę – Dostawca zobowiązany jest niezwłocznie zgłaszać do Klienta, mailowo na adres: [</w:t>
      </w:r>
      <w:r w:rsidDel="00000000" w:rsidR="00000000" w:rsidRPr="00000000">
        <w:rPr>
          <w:rFonts w:ascii="Times New Roman" w:cs="Times New Roman" w:eastAsia="Times New Roman" w:hAnsi="Times New Roman"/>
          <w:highlight w:val="yellow"/>
          <w:rtl w:val="0"/>
        </w:rPr>
        <w:t xml:space="preserve">adres email administratora konta w usłudze [...]</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Klienta – Klient zobowiązany jest niezwłocznie zgłaszać do Dostawcy, mailowo na adres: cert@vercom.pl.</w:t>
      </w:r>
    </w:p>
    <w:p w:rsidR="00000000" w:rsidDel="00000000" w:rsidP="00000000" w:rsidRDefault="00000000" w:rsidRPr="00000000" w14:paraId="000000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Każda ze Stron, w przypadku zgłoszenia Incydentu ICT, zobowiązana jest aktualizować zgłoszenie okresowo, stosownie do pozyskiwania kolejnych danych aż do czasu zamknięcia Incydentu ICT.</w:t>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Współpraca w zakresie zarządzania Incydentem ICT w zakresie przekraczającym niezbędny, określony powyżej będzie realizowana przez Dostawcę za wynagrodzeniem w kwocie stanowiącej iloczyn stawki 400,00 zł (słownie: czterysta złotych) netto powiększonej o należny podatek od towarów i usług oraz liczby godzin koniecznych do realizacji ww. czynności przez Dostawcę. </w:t>
      </w:r>
    </w:p>
    <w:p w:rsidR="00000000" w:rsidDel="00000000" w:rsidP="00000000" w:rsidRDefault="00000000" w:rsidRPr="00000000" w14:paraId="0000009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Płatność wynagrodzenia na rzecz Dostawcy, o którym mowa w ust. 8 powyżej, będzie dokonywana w okresach miesięcznych, na podstawie prawidłowo wystawionej oraz dostarczonej Klientowi faktury VAT. Postanowienia Umowy Głównej odnoszące się do wynagrodzenia (w zakresie odnoszącym się m.in. do terminu płatności, sposobu przekazania faktury) stosuje się odpowiednio.</w:t>
      </w:r>
    </w:p>
    <w:p w:rsidR="00000000" w:rsidDel="00000000" w:rsidP="00000000" w:rsidRDefault="00000000" w:rsidRPr="00000000" w14:paraId="0000009C">
      <w:pPr>
        <w:spacing w:after="0" w:before="0"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spacing w:after="0" w:before="0" w:line="276" w:lineRule="auto"/>
        <w:ind w:left="36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6</w:t>
      </w:r>
    </w:p>
    <w:p w:rsidR="00000000" w:rsidDel="00000000" w:rsidP="00000000" w:rsidRDefault="00000000" w:rsidRPr="00000000" w14:paraId="0000009E">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Dostęp do danych [</w:t>
      </w:r>
      <w:r w:rsidDel="00000000" w:rsidR="00000000" w:rsidRPr="00000000">
        <w:rPr>
          <w:rFonts w:ascii="Times New Roman" w:cs="Times New Roman" w:eastAsia="Times New Roman" w:hAnsi="Times New Roman"/>
          <w:b w:val="1"/>
          <w:bCs w:val="1"/>
          <w:i w:val="1"/>
          <w:iCs w:val="1"/>
          <w:rtl w:val="0"/>
        </w:rPr>
        <w:t xml:space="preserve">wymóg z art. 30 ust. 2 lit. d)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9F">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udostępni Klientowi dane przetwarzane w ramach Usługi ICT w łatwo dostępnym formacie na zasadach przewidzianych w Umowie Głównej, z zachowaniem zasad przechowywania i archiwizacji danych, w tym z uwzględnieniem możliwości wykonywania kopii zapasowych, a także zasad wynikających z Rozporządzenia Parlamentu Europejskiego i Rady (UE) 2016/679 z dnia 27 kwietnia 2016 r. w sprawie ochrony osób fizycznych w związku z przetwarzaniem danych osobowych i w sprawie swobodnego przepływu takich danych oraz uchylenia dyrektywy 95/46/WE (RODO).</w:t>
      </w:r>
    </w:p>
    <w:p w:rsidR="00000000" w:rsidDel="00000000" w:rsidP="00000000" w:rsidRDefault="00000000" w:rsidRPr="00000000" w14:paraId="000000A1">
      <w:pPr>
        <w:spacing w:after="0" w:before="0" w:line="276"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2">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7</w:t>
      </w:r>
    </w:p>
    <w:p w:rsidR="00000000" w:rsidDel="00000000" w:rsidP="00000000" w:rsidRDefault="00000000" w:rsidRPr="00000000" w14:paraId="000000A3">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SLA [</w:t>
      </w:r>
      <w:r w:rsidDel="00000000" w:rsidR="00000000" w:rsidRPr="00000000">
        <w:rPr>
          <w:rFonts w:ascii="Times New Roman" w:cs="Times New Roman" w:eastAsia="Times New Roman" w:hAnsi="Times New Roman"/>
          <w:b w:val="1"/>
          <w:bCs w:val="1"/>
          <w:i w:val="1"/>
          <w:iCs w:val="1"/>
          <w:rtl w:val="0"/>
        </w:rPr>
        <w:t xml:space="preserve">wymóg z art. 30 ust. 2 lit. e)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A4">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5">
      <w:pPr>
        <w:numPr>
          <w:ilvl w:val="0"/>
          <w:numId w:val="15"/>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 ile Strony nie uzgodniły innych gwarantowanych poziomów usług w Umowie Głównej, Dostawca zobowiązuje się zapewnić dostępność Usług ICT na zasadach opisanych w niniejszym paragrafie.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podejmuje starania, w celu zapewnienia Klientowi dostępności systemu, tj. – czasu w okresie rozliczeniowym, w którym wszystkie Usługi ICT są w pełni funkcjonalne i umożliwiają realizację zleconych wysyłek wiadomości, w tym istnieje: możliwość zalogowania do panelu klienta, wysyłki wiadomości, odbiór i przekazywanie raportów, dostępność API i wszystkich innych elementów niezbędnych do realizacji wysyłek wiadomości, na poziomie 99% w okresie rozliczeniowym. </w:t>
      </w:r>
    </w:p>
    <w:p w:rsidR="00000000" w:rsidDel="00000000" w:rsidP="00000000" w:rsidRDefault="00000000" w:rsidRPr="00000000" w14:paraId="000000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podejmie starania, ażeby prace konserwacyjne lub aktualizacje systemu były realizowane zgodnie z deklarowaną wyżej dostępnością systemu. </w:t>
      </w:r>
    </w:p>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Postanowień ust. 3 nie stosuje się, jeżeli ze względów technicznych, niezależnych od Dostawcy, lub ze względów bezpieczeństwa, konieczne będzie przeprowadzenie prac konserwacyjnych lub aktualizacyjnych z częstotliwością wykraczającą poza deklarowane SLA</w:t>
      </w:r>
      <w:r w:rsidDel="00000000" w:rsidR="00000000" w:rsidRPr="00000000">
        <w:rPr>
          <w:rFonts w:ascii="Roboto" w:cs="Roboto" w:eastAsia="Roboto" w:hAnsi="Roboto"/>
          <w:color w:val="444746"/>
          <w:sz w:val="21"/>
          <w:szCs w:val="21"/>
          <w:rtl w:val="0"/>
        </w:rPr>
        <w:t xml:space="preserve">.</w:t>
      </w:r>
      <w:r w:rsidDel="00000000" w:rsidR="00000000" w:rsidRPr="00000000">
        <w:rPr>
          <w:rtl w:val="0"/>
        </w:rPr>
      </w:r>
    </w:p>
    <w:p w:rsidR="00000000" w:rsidDel="00000000" w:rsidP="00000000" w:rsidRDefault="00000000" w:rsidRPr="00000000" w14:paraId="000000A9">
      <w:pPr>
        <w:spacing w:after="0" w:before="0" w:line="276" w:lineRule="auto"/>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8 </w:t>
      </w:r>
    </w:p>
    <w:p w:rsidR="00000000" w:rsidDel="00000000" w:rsidP="00000000" w:rsidRDefault="00000000" w:rsidRPr="00000000" w14:paraId="000000AB">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Współpraca z organami [</w:t>
      </w:r>
      <w:r w:rsidDel="00000000" w:rsidR="00000000" w:rsidRPr="00000000">
        <w:rPr>
          <w:rFonts w:ascii="Times New Roman" w:cs="Times New Roman" w:eastAsia="Times New Roman" w:hAnsi="Times New Roman"/>
          <w:b w:val="1"/>
          <w:bCs w:val="1"/>
          <w:i w:val="1"/>
          <w:iCs w:val="1"/>
          <w:rtl w:val="0"/>
        </w:rPr>
        <w:t xml:space="preserve">wymóg z art. 30 ust. 2 lit. g)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AC">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numPr>
          <w:ilvl w:val="0"/>
          <w:numId w:val="16"/>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Dostawca będzie współpracować z KNF lub innymi właściwymi organami oraz Organami ds. restrukturyzacji i uporządkowanej likwidacji lub osobą wyznaczoną przez Właściwy organ lub Organy ds. restrukturyzacji i uporządkowanej likwidacji w sprawach, w których będzie to wymagane, w tym w związku z wykonywaniem obowiązku lub prawa wynikającego z przepisów prawnych lub dochodzenia prowadzonego przez Właściwy organ lub Organy ds. restrukturyzacji i uporządkowanej likwidacji. Forma współpracy może polegać na udostępnieniu lub zapewnieniu dostępu do dokumentacji, informacji, danych, systemów, pomieszczeń i sieci telekomunikacyjnych, jakie znajdują się w posiadaniu, pieczy lub pod kontrolą Dostawcy.</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Klient zobowiązany jest – w poniższej kolejności – do:</w:t>
      </w:r>
    </w:p>
    <w:p w:rsidR="00000000" w:rsidDel="00000000" w:rsidP="00000000" w:rsidRDefault="00000000" w:rsidRPr="00000000" w14:paraId="000000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niezwłocznego przedstawienia Dostawcy stosownej decyzji administracyjnej, orzeczenia lub innego wezwania wystosowanego przez Właściwy organ lub Organy ds. restrukturyzacji i uporządkowanej likwidacji nakazujących podjęcie przez Dostawcę lub względem Dostawcy określonej czynności;</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podjęcia wszelkich środków w celu samodzielnego (tj. bez udziału Dostawcy) zadośćuczynienia żądaniu Właściwego organu lub Organów ds. restrukturyzacji i uporządkowanej likwidacji i poinformowania Dostawcy o ich podjęciu wraz ze wskazaniem zakresu, przedmiotu i terminu podjętych w ten sposób środków.</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bezskuteczności środków podjętych przez Klienta na zasadach określonych w ust. 2 pkt 2, Dostawca zobowiązuje się do współpracy z Właściwym organem lub Organami ds. restrukturyzacji i uporządkowanej likwidacji (w tym z osobami przez nie wyznaczonymi) w zakresie wynikającym z przepisów prawa oraz treści żądania, przy czym Klient, na każdorazowe żądanie Dostawcy zobowiązany jest w dobrej wierze do niezwłocznego zapewnienia mu nieodpłatnie pełnego wsparcia, w tym udzielania wszelkich instrukcji związanych z takim żądaniem nadzorczym. W celu uniknięcia wątpliwości, zapewnione wsparcie, w tym instrukcje, nie będą w żadnym zakresie sprzeczne z prawem, treścią żądania ani nie mogą budzić wątpliwości Dostawcy co do zadośćuczynienia przedstawionemu celowi nadzorczemu, restrukturyzacyjnemu lub likwidacyjnemu.</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przypadku, gdy zgłoszone względem Dostawcy żądanie Właściwego organu lub Organów ds. restrukturyzacji i uporządkowanej likwidacji (w tym osób przez nie wyznaczonych) było następstwem niewykonania przez Klienta uprzedniego żądania Właściwego organu lub Organów ds. restrukturyzacji i uporządkowanej likwidacji, Dostawca będzie uprawniony do uzyskania od Klienta zwrotu wszelkich kosztów i wydatków poniesionych w związku z taką współpracą z Właściwym organem lub Organami ds. restrukturyzacji i uporządkowanej likwidacji (w tym osobami przez nie wyznaczonymi) lub podmiotem finansowym, w tym wszelkich poniesionych i udokumentowanych kosztów administracyjnych i operacyjnych. </w:t>
      </w:r>
    </w:p>
    <w:p w:rsidR="00000000" w:rsidDel="00000000" w:rsidP="00000000" w:rsidRDefault="00000000" w:rsidRPr="00000000" w14:paraId="000000B3">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4">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9</w:t>
      </w:r>
    </w:p>
    <w:p w:rsidR="00000000" w:rsidDel="00000000" w:rsidP="00000000" w:rsidRDefault="00000000" w:rsidRPr="00000000" w14:paraId="000000B5">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Wypowiedzenie Umowy Głównej [</w:t>
      </w:r>
      <w:r w:rsidDel="00000000" w:rsidR="00000000" w:rsidRPr="00000000">
        <w:rPr>
          <w:rFonts w:ascii="Times New Roman" w:cs="Times New Roman" w:eastAsia="Times New Roman" w:hAnsi="Times New Roman"/>
          <w:b w:val="1"/>
          <w:bCs w:val="1"/>
          <w:i w:val="1"/>
          <w:iCs w:val="1"/>
          <w:rtl w:val="0"/>
        </w:rPr>
        <w:t xml:space="preserve">wymóg z art. 28 ust. 7 oraz art. 30 ust. 2 lit. h)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B6">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7">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Klient może rozwiązać Umowę Główną, niezależnie od odmiennych postanowień Umowy Głównej, jeżeli:</w:t>
      </w:r>
    </w:p>
    <w:p w:rsidR="00000000" w:rsidDel="00000000" w:rsidP="00000000" w:rsidRDefault="00000000" w:rsidRPr="00000000" w14:paraId="000000B8">
      <w:pPr>
        <w:numPr>
          <w:ilvl w:val="0"/>
          <w:numId w:val="10"/>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Właściwy organ lub Organy ds. restrukturyzacji i uporządkowanej likwidacji wydadzą stosowną rekomendację lub decyzję – ze skutkiem na ostatni dzień terminu wynikającego z tej decyzji lub rekomendacji, a w braku określenia w takiej decyzji lub rekomendacji terminu rozwiązania Umowy Głównej, z zachowaniem 30-dniowego okresu wypowiedzenia ze skutkiem na koniec miesiąca. Przed rozwiązaniem Umowy Głównej z tej przyczyny, Klient zobowiązany jest do niezwłocznego powiadomienia o tym Dostawcy (nie później jednak niż w terminie 5 dni od dnia doręczenia takiej decyzji lub rekomendacji);</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Dostawca dopuszcza się poważnego naruszenia przepisów ustawowych, wykonawczych lub postanowień Umowy Głównej mających bezpośredni związek ze świadczeniem Usługi ICT – ze skutkiem natychmiastowym. Przed rozwiązaniem Umowy Głównej z tej przyczyny, Klient zobowiązany jest do wezwać Dostawcę do zaprzestania naruszeń lub przedstawienia stanowiska, w terminie nie krótszym niż 5 dni roboczych; Rozwiązanie Umowy Głównej z uwagi na okoliczności wskazane w niniejszym punkcie jest możliwe po bezskutecznym upływie tego terminu;</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trakcie monitorowania ryzyka przez Klienta zostaną zidentyfikowane: </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okoliczności, w przypadku których to okoliczności uznano, że mogą one zmienić w istotny sposób wykonywanie Usług ICT przewidzianych w Umowie Głównej,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istotne zmiany mające wpływ na Umowę Główną lub sytuację Dostawcy </w:t>
      </w:r>
      <w:r w:rsidDel="00000000" w:rsidR="00000000" w:rsidRPr="00000000">
        <w:rPr>
          <w:rtl w:val="0"/>
        </w:rPr>
      </w:r>
    </w:p>
    <w:p w:rsidR="00000000" w:rsidDel="00000000" w:rsidP="00000000" w:rsidRDefault="00000000" w:rsidRPr="00000000" w14:paraId="000000BD">
      <w:pPr>
        <w:spacing w:after="0" w:before="0" w:line="276" w:lineRule="auto"/>
        <w:ind w:left="10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ze skutkiem natychmiastowym. Przed rozwiązaniem Umowy Głównej z tej przyczyny, Klient poinformuje Dostawcę o zakresie okoliczności i istotnych zmianach, o których mowa w lit a-b powyżej, a także wyznaczy co najmniej 30-dniowy termin na wdrożenie stosownych działań naprawczych. Rozwiązanie Umowy Głównej z uwagi na okoliczności wskazane w niniejszym punkcie jest możliwe po bezskutecznym upływie tego terminu;</w:t>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zostaną wykazane słabe strony Dostawcy w zakresie jego ogólnego zarządzania Ryzykiem związanym z ICT, a w szczególności, jeżeli chodzi o sposób, w jaki zapewnia on dostępność, autentyczność, integralność i poufność danych, niezależnie od tego, czy chodzi o dane osobowe lub w inny sposób wrażliwe, czy też o dane nieosobowe – ze skutkiem natychmiastowym. Przed rozwiązaniem Umowy Głównej z tej przyczyny, Klient poinformuje Dostawcę o zakresie słabych stron, a także wyznaczy co najmniej 30-dniowy termin na wdrożenie stosownych działań naprawczych. Rozwiązanie Umowy Głównej z uwagi na okoliczności wskazane w niniejszym punkcie jest możliwe po bezskutecznym upływie tego terminu;</w:t>
      </w:r>
    </w:p>
    <w:p w:rsidR="00000000" w:rsidDel="00000000" w:rsidP="00000000" w:rsidRDefault="00000000" w:rsidRPr="00000000" w14:paraId="000000B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wyniku warunków lub okoliczności związanych z Umową Główną, Właściwy organ nie może już skutecznie nadzorować Klienta – ze skutkiem natychmiastowym.</w:t>
      </w:r>
    </w:p>
    <w:p w:rsidR="00000000" w:rsidDel="00000000" w:rsidP="00000000" w:rsidRDefault="00000000" w:rsidRPr="00000000" w14:paraId="000000C0">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1">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10</w:t>
      </w:r>
    </w:p>
    <w:p w:rsidR="00000000" w:rsidDel="00000000" w:rsidP="00000000" w:rsidRDefault="00000000" w:rsidRPr="00000000" w14:paraId="000000C2">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Programy szkoleniowe [</w:t>
      </w:r>
      <w:r w:rsidDel="00000000" w:rsidR="00000000" w:rsidRPr="00000000">
        <w:rPr>
          <w:rFonts w:ascii="Times New Roman" w:cs="Times New Roman" w:eastAsia="Times New Roman" w:hAnsi="Times New Roman"/>
          <w:b w:val="1"/>
          <w:bCs w:val="1"/>
          <w:i w:val="1"/>
          <w:iCs w:val="1"/>
          <w:rtl w:val="0"/>
        </w:rPr>
        <w:t xml:space="preserve">wymóg z art. 30 ust. 2 lit. i) DORA</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C3">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numPr>
          <w:ilvl w:val="0"/>
          <w:numId w:val="4"/>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 żądanie Klienta współpracownicy Dostawcy lub za zgodą Dostawcy – także inni przedstawiciele Dostawcy – mogą zostać objęci przez Klienta obowiązkiem uczestnictwa w programach zwiększania świadomości w zakresie bezpieczeństwa ICT oraz szkoleniach z zakresu operacyjnej odporności cyfrowej, przy czym Klient zapewnia, że charakter, zakres i poziom złożoności tych szkoleń i programów będzie współmierny do funkcji pełnionych przez osoby objęte takim obowiązkiem po stronie Dostawcy. Z zastrzeżeniem postanowienia ust. 2, termin i zasady udziału w takich programach oraz szkoleniach będzie wspólnie uzgadniany przez Strony.</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Koszty związane z organizacją i uczestnictwem osób po stronie Dostawcy w programach lub szkoleniach, o których mowa w ust. 1 powyżej, ponosi Klient.</w:t>
      </w:r>
    </w:p>
    <w:p w:rsidR="00000000" w:rsidDel="00000000" w:rsidP="00000000" w:rsidRDefault="00000000" w:rsidRPr="00000000" w14:paraId="000000C6">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7">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11</w:t>
      </w:r>
    </w:p>
    <w:p w:rsidR="00000000" w:rsidDel="00000000" w:rsidP="00000000" w:rsidRDefault="00000000" w:rsidRPr="00000000" w14:paraId="000000C8">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Postanowienia końcowe</w:t>
      </w:r>
    </w:p>
    <w:p w:rsidR="00000000" w:rsidDel="00000000" w:rsidP="00000000" w:rsidRDefault="00000000" w:rsidRPr="00000000" w14:paraId="000000C9">
      <w:pPr>
        <w:spacing w:after="0" w:before="0" w:line="276"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A">
      <w:pPr>
        <w:numPr>
          <w:ilvl w:val="0"/>
          <w:numId w:val="14"/>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Wszelkie zawiadomienia na gruncie Aneksu DORA dokonywane będą w formie dokumentowej (korespondencji e-mail), chyba że w Aneksie DORA wyraźnie wskazano inaczej.</w:t>
      </w:r>
      <w:r w:rsidDel="00000000" w:rsidR="00000000" w:rsidRPr="00000000">
        <w:rPr>
          <w:rtl w:val="0"/>
        </w:rPr>
      </w:r>
    </w:p>
    <w:p w:rsidR="00000000" w:rsidDel="00000000" w:rsidP="00000000" w:rsidRDefault="00000000" w:rsidRPr="00000000" w14:paraId="000000CB">
      <w:pPr>
        <w:numPr>
          <w:ilvl w:val="0"/>
          <w:numId w:val="14"/>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Aneks DORA został zawarty w formie elektronicznej w rozumieniu art. 78</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Kodeksu cywilnego.</w:t>
      </w:r>
      <w:r w:rsidDel="00000000" w:rsidR="00000000" w:rsidRPr="00000000">
        <w:rPr>
          <w:rtl w:val="0"/>
        </w:rPr>
      </w:r>
    </w:p>
    <w:p w:rsidR="00000000" w:rsidDel="00000000" w:rsidP="00000000" w:rsidRDefault="00000000" w:rsidRPr="00000000" w14:paraId="000000CC">
      <w:pPr>
        <w:numPr>
          <w:ilvl w:val="0"/>
          <w:numId w:val="14"/>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Aneks DORA obowiązuje wyłącznie przez okres świadczenia Usługi ICT i nie podlega odrębnemu wypowiedzeniu niż Umowa Główna.</w:t>
      </w:r>
      <w:r w:rsidDel="00000000" w:rsidR="00000000" w:rsidRPr="00000000">
        <w:rPr>
          <w:rtl w:val="0"/>
        </w:rPr>
      </w:r>
    </w:p>
    <w:p w:rsidR="00000000" w:rsidDel="00000000" w:rsidP="00000000" w:rsidRDefault="00000000" w:rsidRPr="00000000" w14:paraId="000000CD">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E">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before="0" w:line="276"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bCs w:val="1"/>
        </w:rPr>
      </w:pPr>
      <w:r w:rsidDel="00000000" w:rsidR="00000000" w:rsidRPr="00000000">
        <w:rPr>
          <w:rtl w:val="0"/>
        </w:rPr>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79.1551918079213"/>
        <w:gridCol w:w="1496.841860284706"/>
        <w:gridCol w:w="3749.514758930996"/>
        <w:tblGridChange w:id="0">
          <w:tblGrid>
            <w:gridCol w:w="3779.1551918079213"/>
            <w:gridCol w:w="1496.841860284706"/>
            <w:gridCol w:w="3749.514758930996"/>
          </w:tblGrid>
        </w:tblGridChange>
      </w:tblGrid>
      <w:tr>
        <w:trPr>
          <w:cantSplit w:val="0"/>
          <w:trHeight w:val="1254.4921875" w:hRule="atLeast"/>
          <w:tblHeader w:val="0"/>
        </w:trPr>
        <w:tc>
          <w:tcPr>
            <w:tcBorders>
              <w:top w:color="000000" w:space="0" w:sz="6"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Dostawca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3">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Klient</w:t>
            </w:r>
          </w:p>
          <w:p w:rsidR="00000000" w:rsidDel="00000000" w:rsidP="00000000" w:rsidRDefault="00000000" w:rsidRPr="00000000" w14:paraId="000000D4">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D5">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D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270" w:hRule="atLeast"/>
          <w:tblHeader w:val="0"/>
        </w:trPr>
        <w:tc>
          <w:tcPr>
            <w:tcBorders>
              <w:top w:color="000000" w:space="0" w:sz="8" w:val="single"/>
            </w:tcBorders>
            <w:tcMar>
              <w:top w:w="0.0" w:type="dxa"/>
              <w:left w:w="100.0" w:type="dxa"/>
              <w:bottom w:w="0.0" w:type="dxa"/>
              <w:right w:w="100.0" w:type="dxa"/>
            </w:tcMar>
            <w:vAlign w:val="top"/>
          </w:tcPr>
          <w:p w:rsidR="00000000" w:rsidDel="00000000" w:rsidP="00000000" w:rsidRDefault="00000000" w:rsidRPr="00000000" w14:paraId="000000D7">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Dostawca</w:t>
            </w:r>
          </w:p>
        </w:tc>
        <w:tc>
          <w:tcPr>
            <w:tcBorders>
              <w:top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8">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D9">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bl>
    <w:p w:rsidR="00000000" w:rsidDel="00000000" w:rsidP="00000000" w:rsidRDefault="00000000" w:rsidRPr="00000000" w14:paraId="000000DA">
      <w:pPr>
        <w:spacing w:after="0" w:before="0" w:line="276" w:lineRule="auto"/>
        <w:jc w:val="left"/>
        <w:rPr>
          <w:rFonts w:ascii="Times New Roman" w:cs="Times New Roman" w:eastAsia="Times New Roman" w:hAnsi="Times New Roman"/>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00"/>
      <w:outlineLvl w:val="0"/>
    </w:pPr>
    <w:rPr>
      <w:sz w:val="40"/>
      <w:szCs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szCs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szCs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sz w:val="24"/>
      <w:szCs w:val="24"/>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ZPyKiySw0/B45031xyDrQUyQ==">CgMxLjA4AHIhMTVXSzI5Vk5jQ0NWdjBZM0xjNEg4XzB6SnJPdXFTZVJW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2025-01-27T10:32:00Z</dcterms:created>
</cp:coreProperties>
</file>